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21 112 vom 17. September 2021</w:t>
      </w:r>
    </w:p>
    <w:p>
      <w:r>
        <w:t>VS Kantonsgericht, 2021-09-17, DE</w:t>
      </w:r>
    </w:p>
    <w:p>
      <w:r>
        <w:rPr>
          <w:b/>
        </w:rPr>
        <w:t xml:space="preserve">Quelle: </w:t>
      </w:r>
      <w:r>
        <w:t>https://mcp.opencaselaw.ch/entscheid/vs_gerichte_A1 21 112</w:t>
      </w:r>
    </w:p>
    <w:p>
      <w:r>
        <w:t>FR: VS_GERICHTE A1 21 112 du 17 septembre 2021</w:t>
      </w:r>
    </w:p>
    <w:p>
      <w:r>
        <w:t>IT: VS_GERICHTE A1 21 112 del 17 settembre 2021</w:t>
      </w:r>
    </w:p>
    <w:p>
      <w:pPr>
        <w:pStyle w:val="Heading2"/>
      </w:pPr>
      <w:r>
        <w:t>Regeste</w:t>
      </w:r>
    </w:p>
    <w:p>
      <w:r>
        <w:t>A1 21 112 URTEIL VOM 17. SEPTEMBER 2021 Kantonsgericht Wallis Öffentlichrechtliche Abteilung Es wirken mit: Christophe Joris, Präsident, Jean-Bernard Fournier und Thomas Brunner, Richter, sowie Carmen Mangisch, Gerichtsschreiberin, in Sachen X _________ AG, Beschwerdeführerin, vertreten durch Rechtsanwalt Peter Volken, gegen STAATSRAT DES KANTONS WALLIS, 1950 Sitten, Vorinstanz STADTGEMEINDE A _________, andere Behörde, Y _________, betroffener Dritter, (Bauwesen) Verwaltungsgerichtsbeschwerde gegen den Entscheid vom 14. April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Bauherrin und Verursacherin sowie als Adressatin des für sie negativen Staatsratsentscheids durch diesen berührt und hat ein schutzwürdiges Inte- resse an dessen Änderung oder Aufhebung, so dass sie gemäss Art. 80 Abs. 1 lit. a i.V.m. Art. 44 Abs. 1 lit. a VVRG zur Beschwerdeführung legitimiert ist.</w:t>
      </w:r>
    </w:p>
    <w:p>
      <w:r>
        <w:rPr>
          <w:b/>
        </w:rPr>
        <w:t>E. 2</w:t>
      </w:r>
    </w:p>
    <w:p>
      <w:r>
        <w:t>Das Gericht hat die Angelegenheit nicht unter allen Gesichtspunkten zu überprüfen, sondern kann sich im Wesentlichen auf die gerügten Punkte beschränken (Art. 48 Abs. 2</w:t>
      </w:r>
    </w:p>
    <w:p>
      <w:r>
        <w:t>- 6 -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der Beschwerdeführerin hinterlegten Belege zu den Akten genommen. Die Vorinstanz hat am 21. Juni 2021 die Akten und den Bundesordner der Gemeinde eingereicht. Die vorhandenen Akten umfassen mithin die entscheidrele- vanten Belege und Sachverhaltselemente und genügen, wie die nachfolgenden Erwä- gungen zeigen, zur Beurteilung der rechtserheblichen Fragen. Das urteilende Gericht nimmt unter Berücksichtigung der vorliegenden Umstände in antizipierter Beweiswürdi- gung an, weitere Beweismittel würden nichts an der zu beurteilenden Sach- und Rechts- lage ändern, weshalb auf zusätzliche Beweisabnahmen verzichtet wird.</w:t>
      </w:r>
    </w:p>
    <w:p>
      <w:r>
        <w:rPr>
          <w:b/>
        </w:rPr>
        <w:t>E. 4</w:t>
      </w:r>
    </w:p>
    <w:p>
      <w:r>
        <w:t>Der Devolutiveffekt bewirkt, dass der Rechtsmittelentscheid prozessual die angefoch- tene Verfügung ersetzt. Allein der Rechtsmittelentscheid ist Gegenstand des anschlies- senden oberinstanzlichen Beschwerdeverfahrens (Ruth Herzog/Michel Daum [Hrsg.], Kommentar zum Gesetz über die Verwaltungsrechtspflege im Kanton Bern, 2. A., 2020, N. 18 zu Art. 72 VRPG). Deshalb ist nicht die Verfügung der Gemeinde vom 26. Juni 2019 Gegenstand des verwaltungsgerichtlichen Verfahrens vor Kantonsgericht, sondern nur der Entscheid des Staatsrats vom 14. April 2021. Insoweit die Beschwerdeführerin in Ziffer 1 ihrer Rechtsbegehren die Aufhebung der Verfügung der Gemeinde verlangt, ist sie nicht zu hören. Als Folge des im Beschwerdeverfahren geltenden Devolutiveffekts hat der Entscheid des Staatsrats den Entscheid der Gemeinde ersetzt. Er gilt aber in- haltlich als mitangefochten (Urteile des Kantonsgerichts A1 21 159 vom 23. März 2021 E. 1.1; vgl. BGE 146 II 335 E. 1.1.2 und 134 II 142 E. 1.4).</w:t>
      </w:r>
    </w:p>
    <w:p>
      <w:r>
        <w:rPr>
          <w:b/>
        </w:rPr>
        <w:t>E. 5</w:t>
      </w:r>
    </w:p>
    <w:p>
      <w:r>
        <w:t>Die Beschwerdeführerin macht geltend, sie habe weder rechtlich noch tatsächlich Gewalt über die Parkfelder. Sie sei nicht passivlegitimiert. Die baupolizeilichen Anord- nungen könnten nicht rechtsgültig gegen sie verfügt werden. Die Stockwerkeigentümer- gemeinschaft sei Eigentümerin der Grundparzelle, auf welcher sich die umstrittenen Parkfelder befinden würden. Die Gemeinde solle sich an diese Gemeinschaft oder den Dienstbarkeitsberechtigten halten.</w:t>
      </w:r>
    </w:p>
    <w:p>
      <w:r>
        <w:rPr>
          <w:b/>
        </w:rPr>
        <w:t>E. 5.1</w:t>
      </w:r>
    </w:p>
    <w:p>
      <w:r>
        <w:t>Nach den allgemeinen Grundsätzen des Verwaltungsrechts ist die Wiederherstel- lungsverfügung an den Störer zu richten. Das ist grundsätzlich derjenige, der die Bau- rechtswidrigkeit selbst oder durch Personen, für deren Verhalten er verantwortlich ist,</w:t>
      </w:r>
    </w:p>
    <w:p>
      <w:r>
        <w:t>- 7 - verursacht hat, also in der Regel die Bauherrschaft (sog. Verhaltensstörer). Als Störer gilt aber auch derjenige, der über die Sache, welche den ordnungswidrigen Zustand be- wirkt, rechtliche oder tatsächliche Gewalt hat (sog. Zustandsstörer); das ist in der Regel der Grundeigentümer (BGE 122 II 65 E. 6a, 107 Ia 19 E. 2a; vgl. auch BGE 145 III 121 E. 4.1, 144 II 332 E. 3.1). Verhaltensstörer und Zustandsstörer können dieselbe Person oder aber verschiedene Personen sein. Im Falle einer Widerrechtlichkeit der Baute oder Anlage können sowohl Verhaltens- wie Zustandsstörer in die Pflicht genommen werden, beim Eigentümer als Zustandsstörer auch Rechtsnachfolger (Urteil des Bundesgerichts 1P.519/2004 vom 4.3.2005 E. 4). Störer kann auch sein, wer einer Pflicht zum Handeln nicht nachkommt.</w:t>
      </w:r>
    </w:p>
    <w:p>
      <w:r>
        <w:rPr>
          <w:b/>
        </w:rPr>
        <w:t>E. 5.2</w:t>
      </w:r>
    </w:p>
    <w:p>
      <w:r>
        <w:t>Für den Fall, dass mehrere Störer gleichzeitig für einen polizeiwidrigen Zustand verantwortlich zeichnen, kann nach der Rechtsprechung und Lehre die Beseitigung der Störung alternativ oder kumulativ von jedem Verhaltens- oder Zustandsstörer verlangt werden, wobei bei der Auswahl des Pflichtigen der zuständigen Behörde ein Ermessens- spielraum zusteht (BGE 107 Ia 19 E. 2b; Urteil des Bundesgerichts 1C_292/2017 vom 15. September 2017 E. 3.1). Mit Bezug auf die Verfügung einer Wiederherstellung des rechtmässigen Zustandes haben sich die Behörden jedoch zunächst an denjenigen zu halten, der hierzu am ehesten in der Lage ist. Ebenso ist jener in die Pflicht zu nehmen, der für den polizeiwidrigen Zustand in erster Linie verantwortlich ist (Ulrich Häfelin/Georg Müller/Felix Uhlmann, Allgemeines Verwaltungsrecht, 8. A., 2020, Rn. 2628; Ruoss Fierz, Massnahmen gegen illegales Bauen, Diss. Zürich 1998, S. 82 f., jeweils mit Hin- weisen). Zwar ist es vertretbar, die Verhaltensstörer wenn möglich vor den reinen Zu- standsstörern in Anspruch zu nehmen (hierzu und nachfolgend Urteil des Bundesge- richts 1C_292/2017 vom 15. September 2017 E. 3.1 mit Hinweisen). Dabei ist aber zu beachten, dass der Verhaltensstörer, dem über das betroffene Grundstück keine Verfü- gungsmacht zusteht, eine verlangte Beseitigung nur vornehmen kann, wenn ihr die Grundstückeigentümer zustimmen. Widersetzen diese sich dem entsprechenden Eigen- tumseingriff, wird die Beseitigungsverfügung gegenüber dem Verhaltensstörer zur Zeit nicht vollstreckbar. Das Vollstreckungshindernis kann beseitigt werden, indem gegen die Grundeigentümer, die ihre Zustimmung zur angeordneten Beseitigung verweigern, eine Duldungs- oder Beseitigungsverfügung erlassen wird. (BGE 107 Ia 19 E. 2c S. 25 f. mit Hinweisen; vgl. auch: Aldo Zaugg/Peter Ludwig, Baugesetz des Kantons Bern, 4. A., 2017, Bd. I, N. 12 zu Art. 46 BauG). Hat die Wiederherstellungsverfügung gemeinschaft- liche Gebäudeteile oder eine Gemeinschaftsanlage zum Gegenstand, so ist die Verfü- gung an die Stockwerkeigentümergemeinschaft zu richten, kann aber an die Adresse</w:t>
      </w:r>
    </w:p>
    <w:p>
      <w:r>
        <w:t>- 8 - der Verwaltung geschickt werden (Aldo Zaugg/Peter Ludwig, a.a.O., N. 12a zu Art. 46 BauG).</w:t>
      </w:r>
    </w:p>
    <w:p>
      <w:r>
        <w:rPr>
          <w:b/>
        </w:rPr>
        <w:t>E. 5.3</w:t>
      </w:r>
    </w:p>
    <w:p>
      <w:r>
        <w:t>Es ergibt sich somit, dass der jeweilige Grundstückeigentümer als Zustandsstörer gilt und stets für Störungen haftet, die von seinem Grundstück ausgehen. Veräussert er sein Grundstück, entsteht beim Rechtsnachfolger eine eigene bauordnungsrechtliche Zustandsverantwortlichkeit. Dabei ist unerheblich, wodurch der polizeiwidrige Zustand der Sache verursacht worden ist. Entscheidend ist allein die objektive Tatsache, dass eine Störung vorliegt und die Sache selbst unmittelbar die Gefahren- oder Schadens- quelle bildet. Die polizeiliche Verantwortlichkeit setzt weder beim Verhaltens- noch beim Zustandsstörer Schuldfähigkeit oder konkretes Verschulden voraus (hierzu Urteil des Bundesgerichts 1C_59/2011 vom 10. Mai 2011 E. 3.3). Die neuen Eigentümer haben sich den bösen Glauben ihres Rechtsvorgängers anrechnen zu lassen und können eine Wiederherstellung nicht mit dem Argument abwenden, sie hätten das Grundstück gut- gläubig erworben und vom polizeiwidrigen Zustand nichts gewusst (vgl. Magdalena Ruoss Fierz, a.a.O., S. 79 ff.).</w:t>
      </w:r>
    </w:p>
    <w:p>
      <w:r>
        <w:rPr>
          <w:b/>
        </w:rPr>
        <w:t>E. 5.4</w:t>
      </w:r>
    </w:p>
    <w:p>
      <w:r>
        <w:t>Im Lichte dieser Ausführungen ist die Beschwerdeführerin, welche den heutigen Zustand als Bauherrin des Mehrfamilienhauses verursacht hat, als Verhaltensstörerin zu betrachten. Sie hat sich im STWE-Begründungsvertrag «ausdrücklich das Recht vorbe- halten, zu Lasten der Grundparzelle Nr. xxx ausschliessliche Benutzungsrechte sowie Dienstbarkeiten zu begründen und über den Umschwung zu verfügen» (Ordner S. 285). Damit hat sie sich ein ausschliessliches Benutzungsrecht am Parkfeld a und am Parkfeld b begründet und zu ihren Gunsten im Grundbuch eintragen lassen. Sie hat dadurch al- leine den ordnungswidrigen Zustand verursacht, so dass sie als Verhaltensstörerin zwecks Wiederherstellung des rechtmässigen Zustandes ins Recht gefasst wurde. Sie ist also nicht der falsche Adressat der Verfügung der Gemeinde. Die Gemeinde geht zu Recht davon aus, dass die beiden Personaldienstbarkeiten mit Bezug auf den vorge- nannten Passus im STWE-Begründungsvertrag wieder aufgehoben werden können. Seit der Grundbucheintragung des Parkplatzbenutzungsrechtes am Platz a vom 17. September 2014 und am Platz b vom 16. März 2018 ist Y _________ als Zustands- störer verantwortlich. Diesem wurden die Verfügungen der Gemeinde vom 5. April 2019 und 26. Juni 2019 in Kopie zugestellt, so dass er in Kenntnis des Wiederherstellungs- verfahrens war. Der Staatsrat hat ihm die Rechtsschriften der Beschwerdeführerin und seinen Entscheid zugestellt. Das Gericht hat ihm auch die Rechtschriften zugestellt und das rechtliche Gehör gewährt. Er hat sich nicht vernehmen und auch nicht vertreten las- sen. Die verlangte Wiederherstellung kann nur vorgenommen werden, wenn er als</w:t>
      </w:r>
    </w:p>
    <w:p>
      <w:r>
        <w:t>- 9 - Dienstbarkeitsberechtigter zustimmt. Widersetzt dieser sich dem entsprechenden Ein- griff, wird die Wiederherstellungsverfügung gegenüber dem Verhaltensstörer zur Zeit nicht vollstreckbar. Das Vollstreckungshindernis kann beseitigt werden, indem gegen den Dienstbarkeitsberechtigten, falls er seine Zustimmung zur angeordneten Beseiti- gung verweigert, eine Duldungs- oder Beseitigungsverfügung erlassen wird, um ihn zu verpflichten, die Vornahme der Wiederherstellung durch die Beschwerdeführerin zu dul- den. Gleichzeitig könnte diese Verfügung auch an die Stockwerkeigentümergemein- schaft zugestellt werden. Zusammenfassend ist hier festzuhalten, dass keine vorinstanzliche Verletzung des Le- galitätsprinzips ersichtlich ist.</w:t>
      </w:r>
    </w:p>
    <w:p>
      <w:r>
        <w:rPr>
          <w:b/>
        </w:rPr>
        <w:t>E. 6</w:t>
      </w:r>
    </w:p>
    <w:p>
      <w:r>
        <w:t>Das Kantonsgericht befasst sich nur mit Fragen, die Gegenstand des vorinstanzlichen Verfahrens bildeten (BGE 130 II 337 E. 1.4). Letzterer umfasst das durch den angefoch- tenen Entscheid geregelte Rechtsverhältnis, soweit dieses angefochten wird. Erging die erstinstanzliche Anordnung von Amtes wegen, bestimmt sich der Streitgegenstand ei- nerseits aus dem Verfügungsthema und dem dazugehörigen Sachverhalt, andererseits aus dem Antrag der Beschwerdeführerin und dem von dieser der Beschwerde zugrunde gelegten Sachverhalt, soweit er in einem nachvollziehbaren Zusammenhang mit der an- gefochtenen Verfügung steht (Martin Bertschi, in: Kommentar VRG [Hrsg. Griffel], 3. A., 2014, Vorbemerkungen zu §§ 19-28a VRG N 46). Das von der Gemeinde initialisierte Verfahren gibt nach dem Gesagten den vom Gericht überprüfbaren Rahmen vor.</w:t>
      </w:r>
    </w:p>
    <w:p>
      <w:r>
        <w:rPr>
          <w:b/>
        </w:rPr>
        <w:t>E. 6.1</w:t>
      </w:r>
    </w:p>
    <w:p>
      <w:r>
        <w:t>Aus der Begründungspflicht der Beschwerde (Art. 48 Abs. 2 i.V.m.80 Abs. 1 lit. c VVRG) ergibt sich, dass erhobene Rügen zu begründen sind. Dieser Pflicht kommt die Beschwerdeführerin nur knapp nach. Sie hat in der Verwaltungsgerichtsbeschwerde nur die Passivlegitimation gerügt. Im Übrigen legt sie nicht dar, welche weiteren Rechtsver- letzungen vorliegen. Der Staatsrat hat sich mit den beiden nicht bewilligten Parkplätzen auseinandergesetzt und hat dargelegt, warum sie formell und auch materiell rechtswidrig sind (E. 7.2 und 7.3). Weiter hat er hinreichend begründet, weshalb der Besucherpark- platz für behinderte Personen jederzeit zur Verfügung stehen müsse, was mit dem Park- verbotsschild sowie der Personaldienstbarkeit verunmöglicht werde (E. 8.3). Mit diesen Ausführungen setzt sich die Beschwerdeführerin nicht hinreichend auseinander, so dass auf ihre appellatorische Kritik nicht weiter einzutreten ist.</w:t>
      </w:r>
    </w:p>
    <w:p>
      <w:r>
        <w:rPr>
          <w:b/>
        </w:rPr>
        <w:t>E. 6.2</w:t>
      </w:r>
    </w:p>
    <w:p>
      <w:r>
        <w:t>Zusammenfassend kann festgehalten werden, dass die erforderlichen gesetzlichen Grundlagen für die behördliche Intervention gegeben sind und der Entscheid des Staats-</w:t>
      </w:r>
    </w:p>
    <w:p>
      <w:r>
        <w:t>- 10 - rats bestätigt werden kann. Das öffentliche Interesse für die Beanstandungen ist ausge- wiesen. Dass die strittige Anordnung schliesslich unverhältnismässig wäre, ist von der Beschwerdeführerin weder dargelegt worden noch ist es aus den Akten ersichtlich. Da- mit erweist sich der mit der konkreten Beanstandung und Verfügung erfolgte Eingriff als rechtmässig. Da die der Beschwerdeführerin neu mit Entscheid des Staatsrats ange- setzte Frist zur Behebung des gesetzwidrigen Zustands mittlerweile abgelaufen ist, ist sie neu anzusetzen.</w:t>
      </w:r>
    </w:p>
    <w:p>
      <w:r>
        <w:rPr>
          <w:b/>
        </w:rPr>
        <w:t>E. 7</w:t>
      </w:r>
    </w:p>
    <w:p>
      <w:r>
        <w:t>Nach dem Gesagten wird die Verwaltungsgerichtsbeschwerde vollumfänglich abge- wiesen. Dieser Ausgang des Verfahrens bestimmt nach Art. 89 VVRG die Kostentragung und ist nach Art. 91 VVRG für den Entscheid über die Zusprechung einer Parteientschä- digung massgebend.</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 Schwierigkeitsgrads sowie der finanziellen Situation der Beschwerdeführerin wird die Gerichtsgebühr vorliegend auf Fr. 2 000.-- festgesetzt (Art. 13 GTar).</w:t>
      </w:r>
    </w:p>
    <w:p>
      <w:r>
        <w:rPr>
          <w:b/>
        </w:rPr>
        <w:t>E. 7.2</w:t>
      </w:r>
    </w:p>
    <w:p>
      <w:r>
        <w:t>Die unterliegende Beschwerdeführerin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- 11 -</w:t>
      </w:r>
    </w:p>
    <w:p>
      <w:r>
        <w:t>Demnach erkennt das Kantonsgericht:</w:t>
      </w:r>
    </w:p>
    <w:p>
      <w:r>
        <w:t>1. Die Beschwerde wird abgewiesen, soweit darauf einzutreten ist. 2. Die Gerichtskosten von Fr. 2 000.-- werden der Beschwerdeführerin auferlegt. 3. Es werden keine Parteientschädigungen zugesprochen. 4. Das Urteil wird der Beschwerdeführerin, der Stadtgemeinde A _________, Y _________ und dem Staatsrat des Kantons Wallis schriftlich mitgeteilt.</w:t>
      </w:r>
    </w:p>
    <w:p>
      <w:r>
        <w:t>Sitten, 17.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